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6663"/>
        </w:tabs>
        <w:ind w:firstLine="666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16</w:t>
      </w:r>
    </w:p>
    <w:p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2017 год</w:t>
      </w:r>
    </w:p>
    <w:p>
      <w:pPr>
        <w:pStyle w:val="ConsPlusNormal"/>
        <w:widowControl/>
        <w:tabs>
          <w:tab w:val="left" w:pos="7020"/>
        </w:tabs>
        <w:ind w:left="6663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«26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»  января  2017 года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</w:p>
    <w:p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оплаты диспансеризации </w:t>
      </w:r>
    </w:p>
    <w:p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определенных групп взрослого населения.</w:t>
      </w:r>
    </w:p>
    <w:p>
      <w:pPr>
        <w:ind w:firstLine="567"/>
        <w:jc w:val="center"/>
        <w:rPr>
          <w:b/>
          <w:sz w:val="24"/>
          <w:szCs w:val="24"/>
        </w:rPr>
      </w:pP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Финансовое обеспечение медицинских организаций, участвующих в проведении диспансеризации определенных групп взрослого населения, осуществляется  за счет средств, предусмотренных Территориальной программой обязательного медицинского страхования, утвержденной постановлением Правительства Магаданской области от 23.12.2016г. № 1010-пп «О Территориальной программе государственных гарантий бесплатного оказания гражданам медицинской помощи на территории Магаданской области на 2017 год и плановый период 2018 и 2019 годов».  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Диспансеризация </w:t>
      </w:r>
      <w:r>
        <w:rPr>
          <w:bCs/>
          <w:sz w:val="24"/>
          <w:szCs w:val="24"/>
        </w:rPr>
        <w:t>определенных групп взрослого населения</w:t>
      </w:r>
      <w:r>
        <w:rPr>
          <w:sz w:val="24"/>
          <w:szCs w:val="24"/>
        </w:rPr>
        <w:t xml:space="preserve"> осуществляется медицинскими организациями, перечень которых утверждается приказом Министерства здравоохранения и демографической политики  Магаданской области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03.02.2015 г. № 36ан «Об утверждении порядка проведения диспансеризации определенных групп взрослого населения» (далее - Приказ Минздрава России № 36ан).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отсутствия у медицинской организации, участвующей в проведении диспансеризации </w:t>
      </w:r>
      <w:r>
        <w:rPr>
          <w:bCs/>
          <w:sz w:val="24"/>
          <w:szCs w:val="24"/>
        </w:rPr>
        <w:t>определенных групп взрослого населения</w:t>
      </w:r>
      <w:r>
        <w:rPr>
          <w:sz w:val="24"/>
          <w:szCs w:val="24"/>
        </w:rPr>
        <w:t xml:space="preserve"> лицензии по отдельным видам работ (услуг), необходимым для осуществления диспансеризации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диспансеризации или выполнения диагностического исследования с медицинской организацией, имеющей лицензию на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 xml:space="preserve">При заключении договоров с медицинскими организациями рекомендуется применять тарифы на проведение диспансеризации определенных групп взрослого населения, утвержденные Приложением № 1 к настоящему Порядку. </w:t>
      </w:r>
    </w:p>
    <w:p>
      <w:pPr>
        <w:spacing w:line="360" w:lineRule="auto"/>
        <w:ind w:firstLine="567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3. Первый этап диспансеризации считается завершенным и подлежит оплате в рамках территориальной программы государственных гарантий бесплатного оказание гражданам медицинской помощи в случае выполнения не менее 85% от объема диспансеризации, установленного для данного возраста и пола гражданина, при этом обязательным является проведение анкетирования и приема (осмотра) врача-терапевта.</w:t>
      </w:r>
    </w:p>
    <w:p>
      <w:pPr>
        <w:pStyle w:val="a9"/>
        <w:spacing w:line="360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lastRenderedPageBreak/>
        <w:t>В случае если число осмотров, исследований и иных медицинских мероприятий, выполненных ранее и учитываемых при диспансеризации составляет менее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14 Порядка проведения диспансеризации определенных групп взрослого населения, утвержденного приказом Минздрава России № 36ан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оплата осуществляется по законченному случаю по тарифам, утвержденным Приложением № 2 к настоящему Порядку.</w:t>
      </w:r>
    </w:p>
    <w:p>
      <w:pPr>
        <w:pStyle w:val="a9"/>
        <w:spacing w:line="360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 случае если число осмотров, исследований и иных медицинских мероприятий, выполненных ранее и учитываемых при диспансеризации превышает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14 Порядка проведения диспансеризации определенных групп взрослого населения, утвержденного приказом Минздрава России № 36ан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оплате подлежат только выполненные осмотры (исследования, мероприятия) по тарифам на оплату медицинских услуг, установленных в Приложении № 1 настоящего Порядка.</w:t>
      </w:r>
    </w:p>
    <w:p>
      <w:pPr>
        <w:pStyle w:val="a9"/>
        <w:spacing w:line="360" w:lineRule="auto"/>
        <w:ind w:left="0" w:right="-1" w:firstLine="567"/>
        <w:jc w:val="both"/>
        <w:rPr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взрослого населения, такие случаи учитываются как проведенный гражданину профилактический медицинский осмотр.</w:t>
      </w:r>
      <w:r>
        <w:rPr>
          <w:i w:val="0"/>
          <w:sz w:val="24"/>
          <w:szCs w:val="24"/>
        </w:rPr>
        <w:t xml:space="preserve"> 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Второй этап диспансеризации считается законченным в случае выполнения осмотров, исследований и иных медицинских мероприятий, указанных в пункте 13.2 Порядка проведения диспансеризации определенных групп взрослого населения, утвержденного приказом Минздрава России № 36ан, необходимость проведения которых определена по результатам первого и второго этапов диспансеризации.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Оплата второго этапа диспансеризации определенных групп взрослого населения осуществляется по отдельным тарифам, утвержденным Приложением № 3 к настоящему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 Медицинские организации формируют отдельные реестры счетов в формате </w:t>
      </w:r>
      <w:r>
        <w:rPr>
          <w:bCs/>
          <w:sz w:val="28"/>
          <w:szCs w:val="28"/>
          <w:lang w:val="en-US"/>
        </w:rPr>
        <w:t>Exel</w:t>
      </w:r>
      <w:r>
        <w:rPr>
          <w:sz w:val="24"/>
          <w:szCs w:val="24"/>
        </w:rPr>
        <w:t xml:space="preserve"> отдельно по первому этапу диспансеризации, согласно Приложению № 4 к настоящему Порядку и по второму этапу диспансеризации, согласно Приложению № 5 к настоящему Порядку  и счет на оплату расходов по проведению диспансеризации </w:t>
      </w:r>
      <w:r>
        <w:rPr>
          <w:bCs/>
          <w:sz w:val="24"/>
          <w:szCs w:val="24"/>
        </w:rPr>
        <w:t xml:space="preserve">определенных групп взрослого населения, отдельно по первому этапу диспансеризации и по второму этапу диспансеризации согласно Приложению № 6 к настоящему Порядку </w:t>
      </w:r>
      <w:r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>
        <w:rPr>
          <w:bCs/>
          <w:sz w:val="24"/>
          <w:szCs w:val="24"/>
        </w:rPr>
        <w:t>граждане</w:t>
      </w:r>
      <w:r>
        <w:rPr>
          <w:sz w:val="24"/>
          <w:szCs w:val="24"/>
        </w:rPr>
        <w:t>, прошедшие диспансеризацию, ежемесячно в течение пяти рабочих дней месяца, следующего за отчетным на бумажном носителе и в электроном виде.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 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</w:p>
    <w:p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>6. Страховые медицинские организации в срок до 15 числа месяца, следующего за отчетным предоставляют в ТФОМС Магаданской области сведения о принятых к оплате реестрах счетов за проведенную диспансеризации взрослого населения, по форме в соответствии с Приложением 7 к настоящему Порядку.</w:t>
      </w: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10"/>
        <w:gridCol w:w="7943"/>
        <w:gridCol w:w="1540"/>
        <w:gridCol w:w="120"/>
      </w:tblGrid>
      <w:tr>
        <w:trPr>
          <w:trHeight w:val="420"/>
        </w:trPr>
        <w:tc>
          <w:tcPr>
            <w:tcW w:w="961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№ 1 к Порядку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диспансеризации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определенных групп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взрослого населения</w:t>
            </w:r>
          </w:p>
        </w:tc>
      </w:tr>
      <w:tr>
        <w:trPr>
          <w:trHeight w:val="1345"/>
        </w:trPr>
        <w:tc>
          <w:tcPr>
            <w:tcW w:w="961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Тарифы на оплату медицинской помощи  </w:t>
            </w:r>
          </w:p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(осмотр, исследование, мероприятие) </w:t>
            </w:r>
          </w:p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 рамках проведения диспансеризации определенных </w:t>
            </w:r>
          </w:p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групп взрослого населения </w:t>
            </w:r>
          </w:p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rPr>
          <w:gridBefore w:val="1"/>
          <w:gridAfter w:val="1"/>
          <w:wBefore w:w="10" w:type="dxa"/>
          <w:wAfter w:w="120" w:type="dxa"/>
          <w:trHeight w:val="930"/>
          <w:tblHeader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Цена за одну услугу (рублей)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40"/>
          <w:tblHeader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0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6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Антропометрия (измерение роста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62,30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1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7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Определение уровня общего холестерина в крови (допускается экспресс-метод),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 забор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172,69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40,31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62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Определение уровня глюкозы в крови экспресс-методом (допускается лабораторный метод)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48,48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5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 определение уровня глюкозы в крови экспресс-методом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48,48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02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Определение относительного суммарного сердечно-сосудистого риска/ Определение абсолютного суммарного сердечно-сосудистого риска у граждан, не имеющих заболеваний, связанных с атеросклерозом*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7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530,17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11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431,17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68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185,85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1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245,32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422,56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6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Маммография обеих молочных желез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985,04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982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276,56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0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 Клинический анализ крови развернутый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839,80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90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Анализ крови биохимический общетерапевтический (в объеме не менее определения уровня креатинина, общего билирубина, аспартат-аминотрансаминазы, аланин-аминотрансаминазы, глюкозы, холестерина),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514,81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– забор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172,69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– определение креатинина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63,93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– определение  общего билирубина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87,74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–  АЛТ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50,83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–  АСТ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50,83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– определение  глюкозы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48,48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– определение уровня холестерина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40,31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Общий анализ мочи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126,08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7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Исследование кала на скрытую кровь иммунохимическим методом (допускается проведение бензидиновой или гваяковой пробы)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97,33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 Ультразвуковое исследование,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 поджелудочной железы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555,16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-почек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555,16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-матки + яичники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688,90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 простаты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555,16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-брюшной аорты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822,66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377,65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9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 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уровню 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диспансеризации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749,38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10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 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дислипидемия, избыточная масса тела или ожирение)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1103,03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 Эзофагогастродуоденоскопия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1988,05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06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 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615,30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1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571,27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39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 Осмотр (консультация) врачом-хирургом или врачом-колопроктологом (для граждан при положительном анализе кала на скрытую кровь, для граждан в возрасте 45 лет и старше при отягощенной наследственности по семейному полипозу, онкологическим заболеваниям колоректальной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колоректальной области)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503,99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8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 Колоноскопия или ректороманоскопия (в случае подозрения на онкологическое заболевание толстой кишки по назначению врача-хирурга или врача-колопроктолога)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3423,00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26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569,96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2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– забор крови (по необходимости)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172,69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–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397,27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0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3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601,15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0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28. Определение концентрации гликированного гемоглобина в крови или тест на толерантность к глюкозе (для граждан с выявленным повышением уровня глюкозы в крови),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516,06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36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– забор крови (дважды)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345,38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03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– определение концентрации гликированного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170,68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94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 Осмотр (консультация) врачом-оториноларингологом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506,05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49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30. Анализ крови на уровень содержания простатспецифического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560,16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27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– забор крови (по необходимости)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172,69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анализ крови на уровень содержания простатспецифического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387,47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498,40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40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сердечно-сосудистый риск)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547,01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34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 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755,81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70"/>
        </w:trPr>
        <w:tc>
          <w:tcPr>
            <w:tcW w:w="9483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* расходы на проведение исследования (манипуляции) учтены в тарифе врача-терапевта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  <w:r>
              <w:lastRenderedPageBreak/>
              <w:t xml:space="preserve">Приложение  2 к Порядку </w:t>
            </w:r>
          </w:p>
          <w:p>
            <w:pPr>
              <w:jc w:val="right"/>
            </w:pPr>
            <w:r>
              <w:t xml:space="preserve">оплаты диспансеризации </w:t>
            </w:r>
          </w:p>
          <w:p>
            <w:pPr>
              <w:jc w:val="right"/>
            </w:pPr>
            <w:r>
              <w:t xml:space="preserve">определенных групп </w:t>
            </w:r>
          </w:p>
          <w:p>
            <w:pPr>
              <w:jc w:val="right"/>
            </w:pPr>
            <w:r>
              <w:t>взрослого населения</w:t>
            </w:r>
          </w:p>
        </w:tc>
      </w:tr>
    </w:tbl>
    <w:p>
      <w:pPr>
        <w:tabs>
          <w:tab w:val="left" w:pos="7392"/>
        </w:tabs>
        <w:spacing w:line="240" w:lineRule="atLeast"/>
      </w:pPr>
    </w:p>
    <w:p>
      <w:pPr>
        <w:tabs>
          <w:tab w:val="left" w:pos="7392"/>
        </w:tabs>
        <w:spacing w:line="240" w:lineRule="atLeast"/>
        <w:jc w:val="right"/>
      </w:pPr>
    </w:p>
    <w:p>
      <w:pPr>
        <w:jc w:val="center"/>
        <w:rPr>
          <w:b/>
        </w:rPr>
      </w:pPr>
      <w:r>
        <w:rPr>
          <w:b/>
        </w:rPr>
        <w:t>ТАРИФЫ</w:t>
      </w:r>
    </w:p>
    <w:p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групп взрослого населения Магаданской области на 2017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</w:p>
        </w:tc>
      </w:tr>
      <w:tr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законченного случая I этапа диспансеризации определенных групп взрослого населения:</w:t>
            </w:r>
          </w:p>
        </w:tc>
      </w:tr>
    </w:tbl>
    <w:p>
      <w:pPr>
        <w:rPr>
          <w:sz w:val="24"/>
          <w:szCs w:val="24"/>
        </w:rPr>
      </w:pPr>
    </w:p>
    <w:tbl>
      <w:tblPr>
        <w:tblW w:w="9680" w:type="dxa"/>
        <w:tblInd w:w="103" w:type="dxa"/>
        <w:tblLook w:val="04A0" w:firstRow="1" w:lastRow="0" w:firstColumn="1" w:lastColumn="0" w:noHBand="0" w:noVBand="1"/>
      </w:tblPr>
      <w:tblGrid>
        <w:gridCol w:w="3220"/>
        <w:gridCol w:w="3187"/>
        <w:gridCol w:w="3273"/>
      </w:tblGrid>
      <w:tr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(руб.)</w:t>
            </w:r>
          </w:p>
        </w:tc>
      </w:tr>
      <w:tr>
        <w:trPr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2 717,7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3 029,5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2 717,7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3 029,5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2 717,7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3 029,5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2 717,7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3 029,5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2 717,7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3 029,5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3 258,9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3 029,5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4 682,8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5 961,7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3 258,9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4 141,6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4 682,8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5 961,7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3 572,0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4 708,0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5 127,9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6 410,2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3 572,0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4 708,0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5 127,9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6 410,2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3 572,0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4 708,0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5 127,9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6 410,2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3 572,0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4 708,0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5 127,9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5 961,7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3 572,0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4 141,6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5 127,9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5 961,7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3 123,0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3 029,5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4 682,8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4 708,0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3 123,0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3 029,5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4 682,8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4 708,0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3 123,0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3 029,5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4 682,8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4 708,0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3 123,0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3 029,5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4 682,8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4 708,0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bCs/>
              </w:rPr>
            </w:pPr>
            <w:r>
              <w:rPr>
                <w:bCs/>
              </w:rPr>
              <w:t>Приложение 3 к Порядку</w:t>
            </w:r>
          </w:p>
          <w:p>
            <w:pPr>
              <w:jc w:val="right"/>
              <w:rPr>
                <w:bCs/>
              </w:rPr>
            </w:pPr>
            <w:r>
              <w:rPr>
                <w:bCs/>
              </w:rPr>
              <w:t>оплаты диспансеризации определенных</w:t>
            </w:r>
          </w:p>
          <w:p>
            <w:pPr>
              <w:jc w:val="right"/>
              <w:rPr>
                <w:bCs/>
              </w:rPr>
            </w:pPr>
            <w:r>
              <w:rPr>
                <w:bCs/>
              </w:rPr>
              <w:t>групп взрослого населения</w:t>
            </w:r>
          </w:p>
          <w:p>
            <w:pPr>
              <w:jc w:val="both"/>
              <w:rPr>
                <w:bCs/>
                <w:sz w:val="16"/>
                <w:szCs w:val="16"/>
              </w:rPr>
            </w:pP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медицинских услуг, относящихся к  II этапу диспансеризации определенных групп взрослого населения:</w:t>
            </w:r>
          </w:p>
        </w:tc>
      </w:tr>
      <w:tr>
        <w:trPr>
          <w:gridBefore w:val="1"/>
          <w:wBefore w:w="10" w:type="dxa"/>
          <w:trHeight w:val="7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одной услуги (руб.)</w:t>
            </w:r>
          </w:p>
        </w:tc>
      </w:tr>
      <w:tr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дислипидемия, избыточная масса тела или ожирение)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1103,03</w:t>
            </w:r>
          </w:p>
        </w:tc>
      </w:tr>
      <w:tr>
        <w:trPr>
          <w:gridBefore w:val="1"/>
          <w:wBefore w:w="10" w:type="dxa"/>
          <w:trHeight w:val="179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Эзофагогастродуоденоскопия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1988,05</w:t>
            </w:r>
          </w:p>
        </w:tc>
      </w:tr>
      <w:tr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615,30</w:t>
            </w:r>
          </w:p>
        </w:tc>
      </w:tr>
      <w:tr>
        <w:trPr>
          <w:gridBefore w:val="1"/>
          <w:wBefore w:w="10" w:type="dxa"/>
          <w:trHeight w:val="2134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571,27</w:t>
            </w:r>
          </w:p>
        </w:tc>
      </w:tr>
      <w:tr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Осмотр (консультация) врачом-хирургом или врачом-колопроктологом (для граждан при положительном анализе кала на скрытую кровь, для граждан в возрасте 45 лет и старше при отягощенной наследственности по семейному полипозу, онкологическим заболеваниям колоректальной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колоректальной области)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503,99</w:t>
            </w:r>
          </w:p>
        </w:tc>
      </w:tr>
      <w:tr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Колоноскопия или ректороманоскопия (в случае подозрения на онкологическое заболевание толстой кишки по назначению врача-хирурга или врача-колопроктолога)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3423,00</w:t>
            </w:r>
          </w:p>
        </w:tc>
      </w:tr>
      <w:tr>
        <w:trPr>
          <w:gridBefore w:val="1"/>
          <w:wBefore w:w="10" w:type="dxa"/>
          <w:trHeight w:val="140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569,96</w:t>
            </w:r>
          </w:p>
        </w:tc>
      </w:tr>
      <w:tr>
        <w:trPr>
          <w:gridBefore w:val="1"/>
          <w:wBefore w:w="10" w:type="dxa"/>
          <w:trHeight w:val="11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105,00</w:t>
            </w:r>
          </w:p>
        </w:tc>
      </w:tr>
      <w:tr>
        <w:trPr>
          <w:gridBefore w:val="1"/>
          <w:wBefore w:w="10" w:type="dxa"/>
          <w:trHeight w:val="141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601,15</w:t>
            </w:r>
          </w:p>
        </w:tc>
      </w:tr>
      <w:tr>
        <w:trPr>
          <w:gridBefore w:val="1"/>
          <w:wBefore w:w="10" w:type="dxa"/>
          <w:trHeight w:val="9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Определение концентрации гликированного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516,06</w:t>
            </w:r>
          </w:p>
        </w:tc>
      </w:tr>
      <w:tr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Осмотр (консультация) врачом-оториноларингологом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506,05</w:t>
            </w:r>
          </w:p>
        </w:tc>
      </w:tr>
      <w:tr>
        <w:trPr>
          <w:gridBefore w:val="1"/>
          <w:wBefore w:w="10" w:type="dxa"/>
          <w:trHeight w:val="17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>
              <w:t xml:space="preserve"> </w:t>
            </w:r>
            <w:r>
              <w:rPr>
                <w:sz w:val="24"/>
                <w:szCs w:val="24"/>
              </w:rPr>
              <w:t>Анализ крови на уровень содержания простатспецифического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560,16</w:t>
            </w:r>
          </w:p>
        </w:tc>
      </w:tr>
      <w:tr>
        <w:trPr>
          <w:gridBefore w:val="1"/>
          <w:wBefore w:w="10" w:type="dxa"/>
          <w:trHeight w:val="17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498,40</w:t>
            </w:r>
          </w:p>
        </w:tc>
      </w:tr>
      <w:tr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сердечно-сосудистый риск)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547,01</w:t>
            </w:r>
          </w:p>
        </w:tc>
      </w:tr>
      <w:tr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749,38</w:t>
            </w:r>
          </w:p>
        </w:tc>
      </w:tr>
    </w:tbl>
    <w:p>
      <w:pPr>
        <w:sectPr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388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661"/>
        <w:gridCol w:w="620"/>
        <w:gridCol w:w="550"/>
        <w:gridCol w:w="940"/>
        <w:gridCol w:w="936"/>
        <w:gridCol w:w="1231"/>
        <w:gridCol w:w="904"/>
        <w:gridCol w:w="936"/>
        <w:gridCol w:w="1231"/>
        <w:gridCol w:w="444"/>
        <w:gridCol w:w="493"/>
        <w:gridCol w:w="543"/>
        <w:gridCol w:w="734"/>
        <w:gridCol w:w="708"/>
      </w:tblGrid>
      <w:tr>
        <w:trPr>
          <w:trHeight w:val="78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</w:pPr>
            <w:r>
              <w:lastRenderedPageBreak/>
              <w:t>Приложение  4</w:t>
            </w:r>
            <w:r>
              <w:br/>
              <w:t>к Порядку оплаты диспансеризации</w:t>
            </w:r>
            <w:r>
              <w:br/>
              <w:t>определенных групп взрослого населения</w:t>
            </w:r>
          </w:p>
        </w:tc>
      </w:tr>
      <w:tr>
        <w:trPr>
          <w:trHeight w:val="42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sz w:val="24"/>
                <w:szCs w:val="24"/>
              </w:rPr>
              <w:br/>
              <w:t xml:space="preserve"> </w:t>
            </w:r>
          </w:p>
        </w:tc>
      </w:tr>
      <w:tr>
        <w:trPr>
          <w:trHeight w:val="61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sz w:val="24"/>
                <w:szCs w:val="24"/>
              </w:rPr>
              <w:br/>
              <w:t xml:space="preserve">       в рамках первого этапа диспансеризации определенных групп взрослого населения</w:t>
            </w:r>
          </w:p>
        </w:tc>
      </w:tr>
      <w:tr>
        <w:trPr>
          <w:trHeight w:val="55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bookmarkStart w:id="1" w:name="RANGE!A4"/>
            <w:r>
              <w:rPr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>
        <w:trPr>
          <w:trHeight w:val="37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период с ______________________ по __________________________</w:t>
            </w:r>
          </w:p>
        </w:tc>
      </w:tr>
      <w:tr>
        <w:trPr>
          <w:trHeight w:val="52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СНИЛС (при наличии)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6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Результат диспансеризации (код)</w:t>
            </w:r>
          </w:p>
        </w:tc>
      </w:tr>
      <w:tr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14…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 ___________________________________</w:t>
            </w:r>
          </w:p>
        </w:tc>
      </w:tr>
      <w:tr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________________________________________</w:t>
            </w:r>
          </w:p>
        </w:tc>
      </w:tr>
      <w:tr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1"/>
        <w:gridCol w:w="401"/>
        <w:gridCol w:w="397"/>
        <w:gridCol w:w="396"/>
        <w:gridCol w:w="396"/>
        <w:gridCol w:w="399"/>
        <w:gridCol w:w="399"/>
        <w:gridCol w:w="396"/>
        <w:gridCol w:w="396"/>
        <w:gridCol w:w="398"/>
        <w:gridCol w:w="398"/>
        <w:gridCol w:w="398"/>
        <w:gridCol w:w="396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 5</w:t>
            </w:r>
            <w:r>
              <w:rPr>
                <w:color w:val="000000"/>
              </w:rPr>
              <w:br/>
              <w:t>к Порядку оплаты диспансеризации</w:t>
            </w:r>
            <w:r>
              <w:rPr>
                <w:color w:val="000000"/>
              </w:rPr>
              <w:br/>
              <w:t>определенных групп взрослого населения</w:t>
            </w:r>
          </w:p>
        </w:tc>
      </w:tr>
      <w:tr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групп взрослого населения</w:t>
            </w:r>
          </w:p>
        </w:tc>
      </w:tr>
      <w:tr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 период с ______________________ по __________________________</w:t>
            </w:r>
          </w:p>
        </w:tc>
      </w:tr>
      <w:tr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расшифровка подписи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>
      <w:pPr>
        <w:sectPr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/>
    <w:p>
      <w:pPr>
        <w:autoSpaceDE w:val="0"/>
        <w:autoSpaceDN w:val="0"/>
        <w:adjustRightInd w:val="0"/>
        <w:jc w:val="right"/>
        <w:outlineLvl w:val="0"/>
      </w:pPr>
      <w:r>
        <w:t>Приложение  6 к Порядку</w:t>
      </w:r>
    </w:p>
    <w:p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диспансеризации</w:t>
      </w:r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групп взрослого населения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>
        <w:trPr>
          <w:trHeight w:val="1033"/>
        </w:trPr>
        <w:tc>
          <w:tcPr>
            <w:tcW w:w="478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>
        <w:trPr>
          <w:trHeight w:val="831"/>
        </w:trP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за 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диспансеризации определенных групп взрослого населения отдельно по возрастам  (женщины)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диспансеризации определенных групп взрослого населения отдельно по возрастам  (мужчины)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по каждому виду услуг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              </w:t>
      </w:r>
    </w:p>
    <w:p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</w:tr>
    </w:tbl>
    <w:p/>
    <w:p>
      <w:pPr>
        <w:sectPr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60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500"/>
        <w:gridCol w:w="1007"/>
        <w:gridCol w:w="993"/>
        <w:gridCol w:w="574"/>
        <w:gridCol w:w="46"/>
        <w:gridCol w:w="190"/>
        <w:gridCol w:w="519"/>
        <w:gridCol w:w="103"/>
        <w:gridCol w:w="190"/>
        <w:gridCol w:w="46"/>
        <w:gridCol w:w="190"/>
        <w:gridCol w:w="255"/>
        <w:gridCol w:w="339"/>
        <w:gridCol w:w="190"/>
        <w:gridCol w:w="110"/>
        <w:gridCol w:w="126"/>
        <w:gridCol w:w="210"/>
        <w:gridCol w:w="192"/>
        <w:gridCol w:w="44"/>
        <w:gridCol w:w="556"/>
        <w:gridCol w:w="528"/>
        <w:gridCol w:w="44"/>
        <w:gridCol w:w="182"/>
        <w:gridCol w:w="528"/>
        <w:gridCol w:w="44"/>
        <w:gridCol w:w="131"/>
        <w:gridCol w:w="528"/>
        <w:gridCol w:w="186"/>
        <w:gridCol w:w="187"/>
        <w:gridCol w:w="75"/>
        <w:gridCol w:w="45"/>
        <w:gridCol w:w="116"/>
        <w:gridCol w:w="105"/>
        <w:gridCol w:w="182"/>
        <w:gridCol w:w="422"/>
        <w:gridCol w:w="105"/>
        <w:gridCol w:w="48"/>
        <w:gridCol w:w="402"/>
        <w:gridCol w:w="422"/>
        <w:gridCol w:w="105"/>
        <w:gridCol w:w="48"/>
        <w:gridCol w:w="275"/>
        <w:gridCol w:w="422"/>
        <w:gridCol w:w="105"/>
        <w:gridCol w:w="48"/>
        <w:gridCol w:w="297"/>
        <w:gridCol w:w="422"/>
        <w:gridCol w:w="105"/>
        <w:gridCol w:w="48"/>
        <w:gridCol w:w="284"/>
        <w:gridCol w:w="422"/>
        <w:gridCol w:w="105"/>
        <w:gridCol w:w="48"/>
        <w:gridCol w:w="276"/>
        <w:gridCol w:w="422"/>
        <w:gridCol w:w="105"/>
        <w:gridCol w:w="258"/>
        <w:gridCol w:w="171"/>
        <w:gridCol w:w="65"/>
        <w:gridCol w:w="187"/>
      </w:tblGrid>
      <w:tr>
        <w:trPr>
          <w:gridAfter w:val="2"/>
          <w:wAfter w:w="252" w:type="dxa"/>
          <w:trHeight w:val="11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 7                                                             к Порядку оплаты диспансеризации определенных групп взрослого населения</w:t>
            </w:r>
          </w:p>
        </w:tc>
      </w:tr>
      <w:tr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754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18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39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Сведения о принятых к оплате реестрах счетов за проведенную диспансеризации взрослого населения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2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24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7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                        201    г.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36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690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Количест- во меди- цинских органи- заций, проводящих диспан- серизацию в отчетном периоде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Всего предъявлен- ных к оплате реестров счетов в рамках диспансери- зации за отчетный период, тыс.рублей*</w:t>
            </w:r>
          </w:p>
        </w:tc>
        <w:tc>
          <w:tcPr>
            <w:tcW w:w="2752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12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Всего оплаченных реестров счетов в рамках диспансери- зации за отчетный период, тыс.рублей*</w:t>
            </w:r>
          </w:p>
        </w:tc>
        <w:tc>
          <w:tcPr>
            <w:tcW w:w="288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97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Количество граждан, направленых на II этап диспансери- зации по результатам I этапа диспан- серизации, человек</w:t>
            </w:r>
          </w:p>
        </w:tc>
        <w:tc>
          <w:tcPr>
            <w:tcW w:w="421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Группы состояния здоровья застрахованных лиц, прошедших диспансеризацию</w:t>
            </w:r>
          </w:p>
        </w:tc>
      </w:tr>
      <w:tr>
        <w:trPr>
          <w:gridAfter w:val="3"/>
          <w:wAfter w:w="423" w:type="dxa"/>
          <w:trHeight w:val="24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</w:tr>
      <w:tr>
        <w:trPr>
          <w:gridAfter w:val="3"/>
          <w:wAfter w:w="423" w:type="dxa"/>
          <w:trHeight w:val="285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</w:tr>
      <w:tr>
        <w:trPr>
          <w:gridAfter w:val="3"/>
          <w:wAfter w:w="423" w:type="dxa"/>
          <w:trHeight w:val="240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 группа состояния здоровья, человек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 группа состояния здоровья, человек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III группа состояния здоровья, человек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IIIа группа состояния здоровья, человек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IIIб группа состояния здоровья, человек</w:t>
            </w:r>
          </w:p>
        </w:tc>
      </w:tr>
      <w:tr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>
        <w:trPr>
          <w:gridAfter w:val="3"/>
          <w:wAfter w:w="423" w:type="dxa"/>
          <w:trHeight w:val="85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Всего взрослых (в возрасте 18 лет и старше)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6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Работающих граждан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>
        <w:trPr>
          <w:gridAfter w:val="3"/>
          <w:wAfter w:w="423" w:type="dxa"/>
          <w:trHeight w:val="330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36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60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Неработающих граждан из них: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>
        <w:trPr>
          <w:gridAfter w:val="3"/>
          <w:wAfter w:w="423" w:type="dxa"/>
          <w:trHeight w:val="39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43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118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Справочно: из строки 1 обучающиеся в образовательных организациях по очной форме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</w:rPr>
            </w:pPr>
            <w:r>
              <w:rPr>
                <w:color w:val="0070C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48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из строки 2 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49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из строки 3 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570"/>
        </w:trPr>
        <w:tc>
          <w:tcPr>
            <w:tcW w:w="13967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6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Директор филиала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16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30"/>
        </w:trPr>
        <w:tc>
          <w:tcPr>
            <w:tcW w:w="26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Главный бухгалтер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80"/>
        </w:trPr>
        <w:tc>
          <w:tcPr>
            <w:tcW w:w="26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1"/>
          <w:wAfter w:w="187" w:type="dxa"/>
          <w:trHeight w:val="225"/>
        </w:trPr>
        <w:tc>
          <w:tcPr>
            <w:tcW w:w="4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Исполнитель 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/>
    <w:sectPr>
      <w:pgSz w:w="16838" w:h="11906" w:orient="landscape"/>
      <w:pgMar w:top="1418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EB715-B870-4B66-A995-598AE05CA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15</Pages>
  <Words>3283</Words>
  <Characters>26397</Characters>
  <Application>Microsoft Office Word</Application>
  <DocSecurity>0</DocSecurity>
  <Lines>219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Казенцева О.И.</cp:lastModifiedBy>
  <cp:revision>182</cp:revision>
  <cp:lastPrinted>2016-01-25T03:17:00Z</cp:lastPrinted>
  <dcterms:created xsi:type="dcterms:W3CDTF">2013-04-08T23:06:00Z</dcterms:created>
  <dcterms:modified xsi:type="dcterms:W3CDTF">2017-01-23T09:50:00Z</dcterms:modified>
</cp:coreProperties>
</file>